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AD" w:rsidRDefault="000D429C" w:rsidP="000D429C">
      <w:pPr>
        <w:bidi/>
        <w:rPr>
          <w:rtl/>
        </w:rPr>
      </w:pPr>
      <w:r w:rsidRPr="000D42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2D36A" wp14:editId="203C56AB">
                <wp:simplePos x="0" y="0"/>
                <wp:positionH relativeFrom="column">
                  <wp:posOffset>1112808</wp:posOffset>
                </wp:positionH>
                <wp:positionV relativeFrom="paragraph">
                  <wp:posOffset>-345057</wp:posOffset>
                </wp:positionV>
                <wp:extent cx="6036789" cy="534838"/>
                <wp:effectExtent l="0" t="0" r="21590" b="1778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789" cy="5348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9C" w:rsidRPr="000D429C" w:rsidRDefault="000D429C" w:rsidP="000D429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429C">
                              <w:rPr>
                                <w:rFonts w:asciiTheme="minorHAnsi" w:cs="B Koodak" w:hint="cs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:rtl/>
                                <w:lang w:bidi="fa-IR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شاخص هاي مربوط به برنامه ارزيابي خطر بلايا </w:t>
                            </w:r>
                            <w:r>
                              <w:rPr>
                                <w:rFonts w:asciiTheme="minorHAnsi" w:cs="B Koodak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:lang w:bidi="fa-IR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SARA</w:t>
                            </w:r>
                            <w:r>
                              <w:rPr>
                                <w:rFonts w:asciiTheme="minorHAnsi" w:cs="B Koodak" w:hint="cs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:rtl/>
                                <w:lang w:bidi="fa-IR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D429C">
                              <w:rPr>
                                <w:rFonts w:asciiTheme="minorHAnsi" w:cs="B Koodak" w:hint="cs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:rtl/>
                                <w:lang w:bidi="fa-IR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در واحدهاي بهداشتي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2D36A" id="Rectangle 4" o:spid="_x0000_s1026" style="position:absolute;left:0;text-align:left;margin-left:87.6pt;margin-top:-27.15pt;width:475.35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" fillcolor="white [3201]" strokecolor="white [3212]" strokeweight="1pt">
                <v:textbox>
                  <w:txbxContent>
                    <w:p w:rsidR="000D429C" w:rsidRPr="000D429C" w:rsidRDefault="000D429C" w:rsidP="000D429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D429C">
                        <w:rPr>
                          <w:rFonts w:asciiTheme="minorHAnsi" w:cs="B Koodak" w:hint="cs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:rtl/>
                          <w:lang w:bidi="fa-IR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شاخص هاي مربوط به برنامه ارزيابي خطر بلايا </w:t>
                      </w:r>
                      <w:r>
                        <w:rPr>
                          <w:rFonts w:asciiTheme="minorHAnsi" w:cs="B Koodak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:lang w:bidi="fa-IR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SARA</w:t>
                      </w:r>
                      <w:r>
                        <w:rPr>
                          <w:rFonts w:asciiTheme="minorHAnsi" w:cs="B Koodak" w:hint="cs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:rtl/>
                          <w:lang w:bidi="fa-IR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0D429C">
                        <w:rPr>
                          <w:rFonts w:asciiTheme="minorHAnsi" w:cs="B Koodak" w:hint="cs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:rtl/>
                          <w:lang w:bidi="fa-IR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در واحدهاي بهداشتي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bidiVisual/>
        <w:tblW w:w="1388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94"/>
        <w:gridCol w:w="2700"/>
        <w:gridCol w:w="2694"/>
        <w:gridCol w:w="2551"/>
        <w:gridCol w:w="709"/>
        <w:gridCol w:w="1841"/>
      </w:tblGrid>
      <w:tr w:rsidR="000D429C" w:rsidRPr="000D429C" w:rsidTr="000D429C">
        <w:trPr>
          <w:trHeight w:val="840"/>
          <w:jc w:val="center"/>
        </w:trPr>
        <w:tc>
          <w:tcPr>
            <w:tcW w:w="3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0D429C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نام شاخص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0D429C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تعريف شاخص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0D429C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صورت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0D429C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مخرج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0D429C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ضريب</w:t>
            </w:r>
          </w:p>
        </w:tc>
        <w:tc>
          <w:tcPr>
            <w:tcW w:w="18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0D429C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زمان احصاء/ تواتر</w:t>
            </w:r>
          </w:p>
        </w:tc>
      </w:tr>
      <w:tr w:rsidR="000D429C" w:rsidRPr="000D429C" w:rsidTr="000D429C">
        <w:trPr>
          <w:trHeight w:val="1157"/>
          <w:jc w:val="center"/>
        </w:trPr>
        <w:tc>
          <w:tcPr>
            <w:tcW w:w="3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Titr"/>
                <w:b/>
                <w:bCs/>
                <w:color w:val="FF0000"/>
                <w:sz w:val="24"/>
                <w:szCs w:val="24"/>
              </w:rPr>
            </w:pPr>
            <w:r w:rsidRPr="000D429C">
              <w:rPr>
                <w:rFonts w:cs="B Titr"/>
                <w:b/>
                <w:bCs/>
                <w:color w:val="FF0000"/>
                <w:sz w:val="24"/>
                <w:szCs w:val="24"/>
                <w:rtl/>
                <w:lang w:bidi="fa-IR"/>
              </w:rPr>
              <w:t>آمادگی عملکردی واحد های بهداشتی در برابر بلایا (درصد)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میزان آمادگی عملکردی واحدهای بهداشتی در برابر بلایا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جمع امتیاز آمادگی عملکردی واحد بهداشتی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جمع کل امتیاز چک لیست آمادگی عملکردی (482 امتیاز)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پایان تابستان/ سالانه</w:t>
            </w:r>
          </w:p>
        </w:tc>
      </w:tr>
      <w:tr w:rsidR="000D429C" w:rsidRPr="000D429C" w:rsidTr="000D429C">
        <w:trPr>
          <w:trHeight w:val="1157"/>
          <w:jc w:val="center"/>
        </w:trPr>
        <w:tc>
          <w:tcPr>
            <w:tcW w:w="3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Titr"/>
                <w:b/>
                <w:bCs/>
                <w:color w:val="FF0000"/>
                <w:sz w:val="24"/>
                <w:szCs w:val="24"/>
              </w:rPr>
            </w:pPr>
            <w:r w:rsidRPr="000D429C">
              <w:rPr>
                <w:rFonts w:cs="B Titr"/>
                <w:b/>
                <w:bCs/>
                <w:color w:val="FF0000"/>
                <w:sz w:val="24"/>
                <w:szCs w:val="24"/>
                <w:rtl/>
                <w:lang w:bidi="fa-IR"/>
              </w:rPr>
              <w:t>ایمنی سازه ای واحد های بهداشتی در برابر بلایا (درصد)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میزان امتیاز ایمنی سازه ای واحد بهداشتی در برابر بلایا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جمع امتیاز ایمنی سازه ای واحد بهداشتی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جمع کل امتیاز ایمنی سازه ای (10 امتیاز)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پایان تابستان/ سالانه</w:t>
            </w:r>
          </w:p>
        </w:tc>
      </w:tr>
      <w:tr w:rsidR="000D429C" w:rsidRPr="000D429C" w:rsidTr="000D429C">
        <w:trPr>
          <w:trHeight w:val="1438"/>
          <w:jc w:val="center"/>
        </w:trPr>
        <w:tc>
          <w:tcPr>
            <w:tcW w:w="3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Titr"/>
                <w:b/>
                <w:bCs/>
                <w:color w:val="FF0000"/>
                <w:sz w:val="24"/>
                <w:szCs w:val="24"/>
              </w:rPr>
            </w:pPr>
            <w:r w:rsidRPr="000D429C">
              <w:rPr>
                <w:rFonts w:cs="B Titr"/>
                <w:b/>
                <w:bCs/>
                <w:color w:val="FF0000"/>
                <w:sz w:val="24"/>
                <w:szCs w:val="24"/>
                <w:rtl/>
                <w:lang w:bidi="fa-IR"/>
              </w:rPr>
              <w:t>ایمنی غیر سازه ای واحد های بهداشتی در برابر بلایا (درصد)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میزان امتیاز ایمنی غیرسازه ای واحد بهداشتی در برابر بلایا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جمع امتیاز ایمنی غیرسازه ای واحد بهداشتی (از موارد غیرسازه ای موجود)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جمع کل امتیاز ایمنی غیرسازه ای موجود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پایان تابستان/ سالانه</w:t>
            </w:r>
          </w:p>
        </w:tc>
      </w:tr>
      <w:tr w:rsidR="000D429C" w:rsidRPr="000D429C" w:rsidTr="000D429C">
        <w:trPr>
          <w:trHeight w:val="1157"/>
          <w:jc w:val="center"/>
        </w:trPr>
        <w:tc>
          <w:tcPr>
            <w:tcW w:w="3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Titr"/>
                <w:b/>
                <w:bCs/>
                <w:color w:val="FF0000"/>
                <w:sz w:val="24"/>
                <w:szCs w:val="24"/>
              </w:rPr>
            </w:pPr>
            <w:r w:rsidRPr="000D429C">
              <w:rPr>
                <w:rFonts w:cs="B Titr"/>
                <w:b/>
                <w:bCs/>
                <w:color w:val="FF0000"/>
                <w:sz w:val="24"/>
                <w:szCs w:val="24"/>
                <w:rtl/>
                <w:lang w:bidi="fa-IR"/>
              </w:rPr>
              <w:t>ايمني كلي واحدهاي بهداشتي در برابر بلايا (درصد)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میزان ایمنی کلی واحدهای بهداشتی در برابر بلایا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مجموع میزان آمادگی عملکردی و ایمنی سازه ای و ایمنی غیرسازه ای واحد بهداشتی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8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پایان تابستان/ سالانه</w:t>
            </w:r>
          </w:p>
        </w:tc>
      </w:tr>
      <w:tr w:rsidR="000D429C" w:rsidRPr="000D429C" w:rsidTr="000D429C">
        <w:trPr>
          <w:trHeight w:val="894"/>
          <w:jc w:val="center"/>
        </w:trPr>
        <w:tc>
          <w:tcPr>
            <w:tcW w:w="3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Titr"/>
                <w:b/>
                <w:bCs/>
                <w:color w:val="FF0000"/>
                <w:sz w:val="24"/>
                <w:szCs w:val="24"/>
              </w:rPr>
            </w:pPr>
            <w:r w:rsidRPr="000D429C">
              <w:rPr>
                <w:rFonts w:cs="B Titr"/>
                <w:b/>
                <w:bCs/>
                <w:color w:val="FF0000"/>
                <w:sz w:val="24"/>
                <w:szCs w:val="24"/>
                <w:rtl/>
                <w:lang w:bidi="fa-IR"/>
              </w:rPr>
              <w:t>سطح ايمني (10-1)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سطح ایمنی واحد بهداشتی در برابر بلایا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8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429C" w:rsidRPr="000D429C" w:rsidRDefault="000D429C" w:rsidP="000D429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D429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پایان تابستان/ سالانه</w:t>
            </w:r>
          </w:p>
        </w:tc>
      </w:tr>
    </w:tbl>
    <w:p w:rsidR="000D429C" w:rsidRDefault="000D429C" w:rsidP="000D429C">
      <w:pPr>
        <w:bidi/>
        <w:rPr>
          <w:rtl/>
        </w:rPr>
      </w:pPr>
    </w:p>
    <w:p w:rsidR="009E2D18" w:rsidRDefault="009E2D18" w:rsidP="009E2D18">
      <w:pPr>
        <w:bidi/>
        <w:rPr>
          <w:rtl/>
        </w:rPr>
      </w:pPr>
    </w:p>
    <w:p w:rsidR="009E2D18" w:rsidRDefault="009E2D18" w:rsidP="009E2D18">
      <w:pPr>
        <w:bidi/>
        <w:rPr>
          <w:rtl/>
        </w:rPr>
      </w:pPr>
      <w:bookmarkStart w:id="0" w:name="_GoBack"/>
      <w:bookmarkEnd w:id="0"/>
    </w:p>
    <w:tbl>
      <w:tblPr>
        <w:bidiVisual/>
        <w:tblW w:w="696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20"/>
        <w:gridCol w:w="2440"/>
        <w:gridCol w:w="2100"/>
      </w:tblGrid>
      <w:tr w:rsidR="009E2D18" w:rsidRPr="009E2D18" w:rsidTr="009E2D18">
        <w:trPr>
          <w:trHeight w:val="608"/>
          <w:jc w:val="center"/>
        </w:trPr>
        <w:tc>
          <w:tcPr>
            <w:tcW w:w="6960" w:type="dxa"/>
            <w:gridSpan w:val="3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  <w:rtl/>
                <w:lang w:bidi="fa-IR"/>
              </w:rPr>
              <w:lastRenderedPageBreak/>
              <w:t>با توجه به امتیاز ایمنی بدست آمده سطح ایمنی در یکی از این طبقات قرار می گیرد</w:t>
            </w:r>
          </w:p>
        </w:tc>
      </w:tr>
      <w:tr w:rsidR="009E2D18" w:rsidRPr="009E2D18" w:rsidTr="009E2D18">
        <w:trPr>
          <w:trHeight w:val="648"/>
          <w:jc w:val="center"/>
        </w:trPr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60497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Safety class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60497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Safety score (minimum)</w:t>
            </w: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60497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Safety score (maximum)</w:t>
            </w:r>
          </w:p>
        </w:tc>
      </w:tr>
      <w:tr w:rsidR="009E2D18" w:rsidRPr="009E2D18" w:rsidTr="009E2D18">
        <w:trPr>
          <w:trHeight w:val="648"/>
          <w:jc w:val="center"/>
        </w:trPr>
        <w:tc>
          <w:tcPr>
            <w:tcW w:w="24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60497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  <w:rtl/>
                <w:lang w:bidi="fa-IR"/>
              </w:rPr>
              <w:t>سطح ایمنی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60497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  <w:rtl/>
                <w:lang w:bidi="fa-IR"/>
              </w:rPr>
              <w:t>امتیاز ایمنی (حداقل)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60497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  <w:rtl/>
                <w:lang w:bidi="fa-IR"/>
              </w:rPr>
              <w:t>امتیاز ایمنی (حداکثر)</w:t>
            </w:r>
          </w:p>
        </w:tc>
      </w:tr>
      <w:tr w:rsidR="009E2D18" w:rsidRPr="009E2D18" w:rsidTr="009E2D18">
        <w:trPr>
          <w:trHeight w:val="470"/>
          <w:jc w:val="center"/>
        </w:trPr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6FF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10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91</w:t>
            </w: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100</w:t>
            </w:r>
          </w:p>
        </w:tc>
      </w:tr>
      <w:tr w:rsidR="009E2D18" w:rsidRPr="009E2D18" w:rsidTr="009E2D18">
        <w:trPr>
          <w:trHeight w:val="470"/>
          <w:jc w:val="center"/>
        </w:trPr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F26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9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81</w:t>
            </w: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90</w:t>
            </w:r>
          </w:p>
        </w:tc>
      </w:tr>
      <w:tr w:rsidR="009E2D18" w:rsidRPr="009E2D18" w:rsidTr="009E2D18">
        <w:trPr>
          <w:trHeight w:val="470"/>
          <w:jc w:val="center"/>
        </w:trPr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8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71</w:t>
            </w: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80</w:t>
            </w:r>
          </w:p>
        </w:tc>
      </w:tr>
      <w:tr w:rsidR="009E2D18" w:rsidRPr="009E2D18" w:rsidTr="009E2D18">
        <w:trPr>
          <w:trHeight w:val="470"/>
          <w:jc w:val="center"/>
        </w:trPr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7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61</w:t>
            </w: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70</w:t>
            </w:r>
          </w:p>
        </w:tc>
      </w:tr>
      <w:tr w:rsidR="009E2D18" w:rsidRPr="009E2D18" w:rsidTr="009E2D18">
        <w:trPr>
          <w:trHeight w:val="470"/>
          <w:jc w:val="center"/>
        </w:trPr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6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51</w:t>
            </w: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60</w:t>
            </w:r>
          </w:p>
        </w:tc>
      </w:tr>
      <w:tr w:rsidR="009E2D18" w:rsidRPr="009E2D18" w:rsidTr="009E2D18">
        <w:trPr>
          <w:trHeight w:val="470"/>
          <w:jc w:val="center"/>
        </w:trPr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BD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5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41</w:t>
            </w: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50</w:t>
            </w:r>
          </w:p>
        </w:tc>
      </w:tr>
      <w:tr w:rsidR="009E2D18" w:rsidRPr="009E2D18" w:rsidTr="009E2D18">
        <w:trPr>
          <w:trHeight w:val="470"/>
          <w:jc w:val="center"/>
        </w:trPr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00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4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31</w:t>
            </w: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40</w:t>
            </w:r>
          </w:p>
        </w:tc>
      </w:tr>
      <w:tr w:rsidR="009E2D18" w:rsidRPr="009E2D18" w:rsidTr="009E2D18">
        <w:trPr>
          <w:trHeight w:val="470"/>
          <w:jc w:val="center"/>
        </w:trPr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3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21</w:t>
            </w: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30</w:t>
            </w:r>
          </w:p>
        </w:tc>
      </w:tr>
      <w:tr w:rsidR="009E2D18" w:rsidRPr="009E2D18" w:rsidTr="009E2D18">
        <w:trPr>
          <w:trHeight w:val="470"/>
          <w:jc w:val="center"/>
        </w:trPr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2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11</w:t>
            </w: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20</w:t>
            </w:r>
          </w:p>
        </w:tc>
      </w:tr>
      <w:tr w:rsidR="009E2D18" w:rsidRPr="009E2D18" w:rsidTr="009E2D18">
        <w:trPr>
          <w:trHeight w:val="470"/>
          <w:jc w:val="center"/>
        </w:trPr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9595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1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0</w:t>
            </w: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D18" w:rsidRPr="009E2D18" w:rsidRDefault="009E2D18" w:rsidP="009E2D18">
            <w:pPr>
              <w:bidi/>
              <w:jc w:val="center"/>
              <w:rPr>
                <w:rFonts w:cs="B Titr"/>
              </w:rPr>
            </w:pPr>
            <w:r w:rsidRPr="009E2D18">
              <w:rPr>
                <w:rFonts w:cs="B Titr"/>
                <w:b/>
                <w:bCs/>
              </w:rPr>
              <w:t>10</w:t>
            </w:r>
          </w:p>
        </w:tc>
      </w:tr>
    </w:tbl>
    <w:p w:rsidR="009E2D18" w:rsidRDefault="009E2D18" w:rsidP="009E2D18">
      <w:pPr>
        <w:bidi/>
      </w:pPr>
    </w:p>
    <w:sectPr w:rsidR="009E2D18" w:rsidSect="000D42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9C"/>
    <w:rsid w:val="000D429C"/>
    <w:rsid w:val="006477AD"/>
    <w:rsid w:val="009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81D3B71"/>
  <w15:chartTrackingRefBased/>
  <w15:docId w15:val="{844144B5-29F6-405F-A29D-4BCAF15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2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9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 Gholami</dc:creator>
  <cp:keywords/>
  <dc:description/>
  <cp:lastModifiedBy>Mehdi  Gholami</cp:lastModifiedBy>
  <cp:revision>2</cp:revision>
  <dcterms:created xsi:type="dcterms:W3CDTF">2023-08-23T05:29:00Z</dcterms:created>
  <dcterms:modified xsi:type="dcterms:W3CDTF">2023-08-23T05:36:00Z</dcterms:modified>
</cp:coreProperties>
</file>